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93" w:rsidRDefault="00B80E93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B80E93" w:rsidRDefault="00B80E93">
      <w:pPr>
        <w:pStyle w:val="ConsPlusTitle"/>
        <w:jc w:val="center"/>
      </w:pPr>
    </w:p>
    <w:p w:rsidR="00B80E93" w:rsidRDefault="00B80E93">
      <w:pPr>
        <w:pStyle w:val="ConsPlusTitle"/>
        <w:jc w:val="center"/>
      </w:pPr>
      <w:r>
        <w:t>ИНФОРМАЦИЯ</w:t>
      </w:r>
    </w:p>
    <w:p w:rsidR="00B80E93" w:rsidRDefault="00B80E93">
      <w:pPr>
        <w:pStyle w:val="ConsPlusTitle"/>
        <w:jc w:val="center"/>
      </w:pPr>
    </w:p>
    <w:p w:rsidR="00B80E93" w:rsidRDefault="00B80E93">
      <w:pPr>
        <w:pStyle w:val="ConsPlusTitle"/>
        <w:jc w:val="center"/>
      </w:pPr>
      <w:r>
        <w:t>ОСНОВНЫЕ НОВЕЛЛЫ</w:t>
      </w:r>
    </w:p>
    <w:p w:rsidR="00B80E93" w:rsidRDefault="00B80E93">
      <w:pPr>
        <w:pStyle w:val="ConsPlusTitle"/>
        <w:jc w:val="center"/>
      </w:pPr>
      <w:r>
        <w:t>В МЕТОДИЧЕСКИХ РЕКОМЕНДАЦИЯХ ПО ВОПРОСАМ ПРЕДСТАВЛЕНИЯ</w:t>
      </w:r>
    </w:p>
    <w:p w:rsidR="00B80E93" w:rsidRDefault="00B80E93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B80E93" w:rsidRDefault="00B80E93">
      <w:pPr>
        <w:pStyle w:val="ConsPlusTitle"/>
        <w:jc w:val="center"/>
      </w:pPr>
      <w:r>
        <w:t>ИМУЩЕСТВЕННОГО ХАРАКТЕРА И ЗАПОЛНЕНИЯ СООТВЕТСТВУЮЩЕЙ ФОРМЫ</w:t>
      </w:r>
    </w:p>
    <w:p w:rsidR="00B80E93" w:rsidRDefault="00B80E93">
      <w:pPr>
        <w:pStyle w:val="ConsPlusTitle"/>
        <w:jc w:val="center"/>
      </w:pPr>
      <w:r>
        <w:t>СПРАВКИ В 2021 ГОДУ (ЗА ОТЧЕТНЫЙ 2020 ГОД)</w:t>
      </w:r>
    </w:p>
    <w:p w:rsidR="00B80E93" w:rsidRDefault="00B80E93">
      <w:pPr>
        <w:pStyle w:val="ConsPlusNormal"/>
        <w:jc w:val="center"/>
      </w:pPr>
    </w:p>
    <w:p w:rsidR="00B80E93" w:rsidRDefault="00B80E93">
      <w:pPr>
        <w:pStyle w:val="ConsPlusNormal"/>
        <w:ind w:firstLine="540"/>
        <w:jc w:val="both"/>
      </w:pPr>
      <w:r>
        <w:t xml:space="preserve">В течение последних лет является устоявшейся практика подготовки Министерством труда и социальной защиты Российской </w:t>
      </w:r>
      <w:proofErr w:type="gramStart"/>
      <w:r>
        <w:t>Федерации</w:t>
      </w:r>
      <w:proofErr w:type="gramEnd"/>
      <w:r>
        <w:t xml:space="preserve"> ежегодно обновляемых Методических </w:t>
      </w:r>
      <w:hyperlink r:id="rId4" w:history="1">
        <w:r>
          <w:rPr>
            <w:color w:val="0000FF"/>
          </w:rPr>
          <w:t>рекомендаций</w:t>
        </w:r>
      </w:hyperlink>
      <w:r>
        <w:t xml:space="preserve">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- Методические рекомендации, сведения соответственно), направления их в заинтересованные государственные органы и организации, а также размещения на официальном сайте Минтруда России.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Методические </w:t>
      </w:r>
      <w:hyperlink r:id="rId5" w:history="1">
        <w:r>
          <w:rPr>
            <w:color w:val="0000FF"/>
          </w:rPr>
          <w:t>рекомендации</w:t>
        </w:r>
      </w:hyperlink>
      <w:r>
        <w:t xml:space="preserve"> для применения в ходе декларационной кампании 2021 года (за отчетный 2020 год) подготовлены Министерством при участии Администрации Президента Российской Федерации, Центрального банка Российской Федерации, Генеральной прокуратуры Российской Федерации и иных заинтересованных федеральных государственных органов.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>В ходе использования в работе указанных Методических рекомендаций предлагаем обратить внимание на следующее.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1. В </w:t>
      </w:r>
      <w:hyperlink r:id="rId6" w:history="1">
        <w:r>
          <w:rPr>
            <w:color w:val="0000FF"/>
          </w:rPr>
          <w:t>пункте 6</w:t>
        </w:r>
      </w:hyperlink>
      <w:r>
        <w:t xml:space="preserve"> Методических рекомендаций отмечено, что 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сведения, так как такие сведения представляются при назначении.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2. </w:t>
      </w:r>
      <w:hyperlink r:id="rId7" w:history="1">
        <w:r>
          <w:rPr>
            <w:color w:val="0000FF"/>
          </w:rPr>
          <w:t>Пункт 13</w:t>
        </w:r>
      </w:hyperlink>
      <w:r>
        <w:t xml:space="preserve"> Методических рекомендаций дополнен абзацем, конкретизирующим, что юридически значимым является перечень должностей, действующий на 31 декабря 2020 года.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>3. Сведения, представленные в период декларационной кампании лицом, уволившимся до наступления срока размещения таких сведений, не подлежат опубликованию на официальном сайте в информационно-телекоммуникационной сети "Интернет" (</w:t>
      </w:r>
      <w:hyperlink r:id="rId8" w:history="1">
        <w:r>
          <w:rPr>
            <w:color w:val="0000FF"/>
          </w:rPr>
          <w:t>пункт 15</w:t>
        </w:r>
      </w:hyperlink>
      <w:r>
        <w:t xml:space="preserve"> Методических рекомендаций).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4. Методические </w:t>
      </w:r>
      <w:hyperlink r:id="rId9" w:history="1">
        <w:r>
          <w:rPr>
            <w:color w:val="0000FF"/>
          </w:rPr>
          <w:t>рекомендации</w:t>
        </w:r>
      </w:hyperlink>
      <w:r>
        <w:t xml:space="preserve"> обновлены с учетом положений </w:t>
      </w:r>
      <w:hyperlink r:id="rId10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15 января 2020 г. N 13 "О внесении изменений в некоторые акты Президента Российской Федерации" (необходимость использования СПО "Справки БК", предоставления СНИЛС).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5. В </w:t>
      </w:r>
      <w:hyperlink r:id="rId11" w:history="1">
        <w:r>
          <w:rPr>
            <w:color w:val="0000FF"/>
          </w:rPr>
          <w:t>подпункте 3 пункта 60</w:t>
        </w:r>
      </w:hyperlink>
      <w:r>
        <w:t xml:space="preserve"> Методических рекомендаций отмечено, что пособие по временной нетрудоспособности в случае утраты трудоспособности вследствие заболевания или травмы, по общему правилу, выплачивается застрахованным лицам за первые три дня временной нетрудоспособности за счет средств страхователя, а за остальной </w:t>
      </w:r>
      <w:proofErr w:type="gramStart"/>
      <w:r>
        <w:t>период</w:t>
      </w:r>
      <w:proofErr w:type="gramEnd"/>
      <w:r>
        <w:t xml:space="preserve"> начиная с 4-го дня временной нетрудоспособности за счет средств бюджета Фонда социального страхования Российской Федерации. Таким образом, необходимую информацию можно получить посредством обращения в Фонд социального страхования Российской Федерации.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6. </w:t>
      </w:r>
      <w:hyperlink r:id="rId12" w:history="1">
        <w:r>
          <w:rPr>
            <w:color w:val="0000FF"/>
          </w:rPr>
          <w:t>Подпункт 9 пункта 60</w:t>
        </w:r>
      </w:hyperlink>
      <w:r>
        <w:t xml:space="preserve"> Методических рекомендаций дополнен ситуацией продажи имущества, находящегося в долевой собственности.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7. Также Методические рекомендации дополнены </w:t>
      </w:r>
      <w:hyperlink r:id="rId13" w:history="1">
        <w:r>
          <w:rPr>
            <w:color w:val="0000FF"/>
          </w:rPr>
          <w:t>пунктами 61</w:t>
        </w:r>
      </w:hyperlink>
      <w:r>
        <w:t xml:space="preserve"> и </w:t>
      </w:r>
      <w:hyperlink r:id="rId14" w:history="1">
        <w:r>
          <w:rPr>
            <w:color w:val="0000FF"/>
          </w:rPr>
          <w:t>65</w:t>
        </w:r>
      </w:hyperlink>
      <w:r>
        <w:t xml:space="preserve">, касающимися мер </w:t>
      </w:r>
      <w:r>
        <w:lastRenderedPageBreak/>
        <w:t>социальной и иной поддержки, оказанной в связи с распространением новой коронавирусной инфекции.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8. </w:t>
      </w:r>
      <w:hyperlink r:id="rId15" w:history="1">
        <w:r>
          <w:rPr>
            <w:color w:val="0000FF"/>
          </w:rPr>
          <w:t>Пункты 69</w:t>
        </w:r>
      </w:hyperlink>
      <w:r>
        <w:t xml:space="preserve"> и </w:t>
      </w:r>
      <w:hyperlink r:id="rId16" w:history="1">
        <w:r>
          <w:rPr>
            <w:color w:val="0000FF"/>
          </w:rPr>
          <w:t>72</w:t>
        </w:r>
      </w:hyperlink>
      <w:r>
        <w:t xml:space="preserve"> Методических рекомендаций дополнены ситуациями, при которых сведения о расходах не отражаются.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9. В </w:t>
      </w:r>
      <w:hyperlink r:id="rId17" w:history="1">
        <w:r>
          <w:rPr>
            <w:color w:val="0000FF"/>
          </w:rPr>
          <w:t>пункте 119</w:t>
        </w:r>
      </w:hyperlink>
      <w:r>
        <w:t xml:space="preserve"> Методических рекомендациях указано, что Банком России издано </w:t>
      </w:r>
      <w:hyperlink r:id="rId18" w:history="1">
        <w:r>
          <w:rPr>
            <w:color w:val="0000FF"/>
          </w:rPr>
          <w:t>Указание</w:t>
        </w:r>
      </w:hyperlink>
      <w:r>
        <w:t xml:space="preserve"> от 15 апреля 2020 г. N 5440-У. Полагаем целесообразным ориентировать на получение информации для целей представления сведений в соответствии с данным </w:t>
      </w:r>
      <w:hyperlink r:id="rId19" w:history="1">
        <w:r>
          <w:rPr>
            <w:color w:val="0000FF"/>
          </w:rPr>
          <w:t>Указанием</w:t>
        </w:r>
      </w:hyperlink>
      <w:r>
        <w:t xml:space="preserve"> Банка России.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Методические </w:t>
      </w:r>
      <w:hyperlink r:id="rId20" w:history="1">
        <w:r>
          <w:rPr>
            <w:color w:val="0000FF"/>
          </w:rPr>
          <w:t>рекомендации</w:t>
        </w:r>
      </w:hyperlink>
      <w:r>
        <w:t xml:space="preserve"> дополнены разделом "Представление сведений о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в ходе декларационной кампании 2021 года", раскрывающим содержание положений </w:t>
      </w:r>
      <w:hyperlink r:id="rId21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от 10 декабря 2020 г. N 778 "О мерах по реализации отдельных положений Федерального закона "О цифровых финансовых активах, цифровой</w:t>
      </w:r>
      <w:proofErr w:type="gramEnd"/>
      <w:r>
        <w:t xml:space="preserve"> валюте и о внесении изменений в отдельные законодательные акты Российской Федерации".</w:t>
      </w:r>
    </w:p>
    <w:p w:rsidR="00B80E93" w:rsidRDefault="00B80E93">
      <w:pPr>
        <w:pStyle w:val="ConsPlusNormal"/>
        <w:spacing w:before="220"/>
        <w:ind w:firstLine="540"/>
        <w:jc w:val="both"/>
      </w:pPr>
      <w:r>
        <w:t xml:space="preserve">11. Положения Методических </w:t>
      </w:r>
      <w:hyperlink r:id="rId22" w:history="1">
        <w:r>
          <w:rPr>
            <w:color w:val="0000FF"/>
          </w:rPr>
          <w:t>рекомендаций</w:t>
        </w:r>
      </w:hyperlink>
      <w:r>
        <w:t xml:space="preserve"> в целом актуализированы с учетом изменений нормативных правовых актов Российской Федерации.</w:t>
      </w:r>
    </w:p>
    <w:p w:rsidR="00B80E93" w:rsidRDefault="00B80E93">
      <w:pPr>
        <w:pStyle w:val="ConsPlusNormal"/>
        <w:jc w:val="both"/>
      </w:pPr>
    </w:p>
    <w:p w:rsidR="00B80E93" w:rsidRDefault="00B80E93">
      <w:pPr>
        <w:pStyle w:val="ConsPlusNormal"/>
        <w:jc w:val="both"/>
      </w:pPr>
    </w:p>
    <w:p w:rsidR="00B80E93" w:rsidRDefault="00B80E9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2C7D" w:rsidRDefault="00A02C7D"/>
    <w:sectPr w:rsidR="00A02C7D" w:rsidSect="00624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E93"/>
    <w:rsid w:val="0009057F"/>
    <w:rsid w:val="000940E8"/>
    <w:rsid w:val="00146B59"/>
    <w:rsid w:val="00286C67"/>
    <w:rsid w:val="00410166"/>
    <w:rsid w:val="004A3B56"/>
    <w:rsid w:val="00771B89"/>
    <w:rsid w:val="008B0592"/>
    <w:rsid w:val="00930271"/>
    <w:rsid w:val="00A02C7D"/>
    <w:rsid w:val="00B217D0"/>
    <w:rsid w:val="00B80E93"/>
    <w:rsid w:val="00BC6FC2"/>
    <w:rsid w:val="00E17C6A"/>
    <w:rsid w:val="00F30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0E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0E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F37E1481089CC24EBF3A6B78EB9AD8B9F270E3EE73E64333DA12F59CA0F6BEC0BC5FF6E8C6E56D37A8C6A026C7223D8CFD59BE2361369g3F7E" TargetMode="External"/><Relationship Id="rId13" Type="http://schemas.openxmlformats.org/officeDocument/2006/relationships/hyperlink" Target="consultantplus://offline/ref=EB6F37E1481089CC24EBF3A6B78EB9AD8B9F270E3EE73E64333DA12F59CA0F6BEC0BC5FF6E8C6C55D07A8C6A026C7223D8CFD59BE2361369g3F7E" TargetMode="External"/><Relationship Id="rId18" Type="http://schemas.openxmlformats.org/officeDocument/2006/relationships/hyperlink" Target="consultantplus://offline/ref=EB6F37E1481089CC24EBF3A6B78EB9AD8B9D27033FE03E64333DA12F59CA0F6BFE0B9DF36C897050D76FDA3B44g3F8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B6F37E1481089CC24EBF3A6B78EB9AD8B9F240E3AE23E64333DA12F59CA0F6BFE0B9DF36C897050D76FDA3B44g3F8E" TargetMode="External"/><Relationship Id="rId7" Type="http://schemas.openxmlformats.org/officeDocument/2006/relationships/hyperlink" Target="consultantplus://offline/ref=EB6F37E1481089CC24EBF3A6B78EB9AD8B9F270E3EE73E64333DA12F59CA0F6BEC0BC5FF6E8C6E56D67A8C6A026C7223D8CFD59BE2361369g3F7E" TargetMode="External"/><Relationship Id="rId12" Type="http://schemas.openxmlformats.org/officeDocument/2006/relationships/hyperlink" Target="consultantplus://offline/ref=EB6F37E1481089CC24EBF3A6B78EB9AD8B9F270E3EE73E64333DA12F59CA0F6BEC0BC5FF6E8C6C52D27A8C6A026C7223D8CFD59BE2361369g3F7E" TargetMode="External"/><Relationship Id="rId17" Type="http://schemas.openxmlformats.org/officeDocument/2006/relationships/hyperlink" Target="consultantplus://offline/ref=EB6F37E1481089CC24EBF3A6B78EB9AD8B9F270E3EE73E64333DA12F59CA0F6BEC0BC5FF6E8C6A52D77A8C6A026C7223D8CFD59BE2361369g3F7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B6F37E1481089CC24EBF3A6B78EB9AD8B9F270E3EE73E64333DA12F59CA0F6BEC0BC5FF6E8C6C59D17A8C6A026C7223D8CFD59BE2361369g3F7E" TargetMode="External"/><Relationship Id="rId20" Type="http://schemas.openxmlformats.org/officeDocument/2006/relationships/hyperlink" Target="consultantplus://offline/ref=EB6F37E1481089CC24EBF3A6B78EB9AD8B9F270E3EE73E64333DA12F59CA0F6BFE0B9DF36C897050D76FDA3B44g3F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B6F37E1481089CC24EBF3A6B78EB9AD8B9F270E3EE73E64333DA12F59CA0F6BEC0BC5FF6E8C6E53D07A8C6A026C7223D8CFD59BE2361369g3F7E" TargetMode="External"/><Relationship Id="rId11" Type="http://schemas.openxmlformats.org/officeDocument/2006/relationships/hyperlink" Target="consultantplus://offline/ref=EB6F37E1481089CC24EBF3A6B78EB9AD8B9F270E3EE73E64333DA12F59CA0F6BEC0BC5FF6E8C6C51D17A8C6A026C7223D8CFD59BE2361369g3F7E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EB6F37E1481089CC24EBF3A6B78EB9AD8B9F270E3EE73E64333DA12F59CA0F6BFE0B9DF36C897050D76FDA3B44g3F8E" TargetMode="External"/><Relationship Id="rId15" Type="http://schemas.openxmlformats.org/officeDocument/2006/relationships/hyperlink" Target="consultantplus://offline/ref=EB6F37E1481089CC24EBF3A6B78EB9AD8B9F270E3EE73E64333DA12F59CA0F6BEC0BC5FF6E8C6C59D57A8C6A026C7223D8CFD59BE2361369g3F7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B6F37E1481089CC24EBF3A6B78EB9AD8B9C26023BEF3E64333DA12F59CA0F6BFE0B9DF36C897050D76FDA3B44g3F8E" TargetMode="External"/><Relationship Id="rId19" Type="http://schemas.openxmlformats.org/officeDocument/2006/relationships/hyperlink" Target="consultantplus://offline/ref=EB6F37E1481089CC24EBF3A6B78EB9AD8B9D27033FE03E64333DA12F59CA0F6BFE0B9DF36C897050D76FDA3B44g3F8E" TargetMode="External"/><Relationship Id="rId4" Type="http://schemas.openxmlformats.org/officeDocument/2006/relationships/hyperlink" Target="consultantplus://offline/ref=EB6F37E1481089CC24EBF3A6B78EB9AD899F210837E73E64333DA12F59CA0F6BEC0BC5FF6E8C6E50D47A8C6A026C7223D8CFD59BE2361369g3F7E" TargetMode="External"/><Relationship Id="rId9" Type="http://schemas.openxmlformats.org/officeDocument/2006/relationships/hyperlink" Target="consultantplus://offline/ref=EB6F37E1481089CC24EBF3A6B78EB9AD8B9F270E3EE73E64333DA12F59CA0F6BFE0B9DF36C897050D76FDA3B44g3F8E" TargetMode="External"/><Relationship Id="rId14" Type="http://schemas.openxmlformats.org/officeDocument/2006/relationships/hyperlink" Target="consultantplus://offline/ref=EB6F37E1481089CC24EBF3A6B78EB9AD8B9F270E3EE73E64333DA12F59CA0F6BEC0BC5FF6E8C6C58D17A8C6A026C7223D8CFD59BE2361369g3F7E" TargetMode="External"/><Relationship Id="rId22" Type="http://schemas.openxmlformats.org/officeDocument/2006/relationships/hyperlink" Target="consultantplus://offline/ref=EB6F37E1481089CC24EBF3A6B78EB9AD8B9F270E3EE73E64333DA12F59CA0F6BFE0B9DF36C897050D76FDA3B44g3F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NosovaEK</dc:creator>
  <cp:lastModifiedBy>NosovaEK</cp:lastModifiedBy>
  <cp:revision>1</cp:revision>
  <dcterms:created xsi:type="dcterms:W3CDTF">2021-01-25T04:05:00Z</dcterms:created>
  <dcterms:modified xsi:type="dcterms:W3CDTF">2021-01-25T04:06:00Z</dcterms:modified>
</cp:coreProperties>
</file>